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7BEE8" w14:textId="77777777" w:rsidR="003A7D05" w:rsidRPr="003A7D05" w:rsidRDefault="003A7D05" w:rsidP="003A7D05">
      <w:pPr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</w:pPr>
      <w:r w:rsidRPr="003A7D05">
        <w:rPr>
          <w:rFonts w:ascii="Times New Roman" w:hAnsi="Times New Roman" w:cs="Times New Roman"/>
          <w:bCs/>
          <w:i/>
          <w:iCs/>
          <w:color w:val="000000" w:themeColor="text1"/>
          <w:szCs w:val="21"/>
        </w:rPr>
        <w:t>Article</w:t>
      </w:r>
    </w:p>
    <w:p w14:paraId="70A273D5" w14:textId="6E93B0C8" w:rsidR="003A7D05" w:rsidRDefault="003A7D05" w:rsidP="003A7D05">
      <w:pPr>
        <w:spacing w:line="400" w:lineRule="exact"/>
        <w:rPr>
          <w:rFonts w:ascii="Palatino Linotype" w:hAnsi="Palatino Linotype" w:cs="Times New Roman"/>
          <w:b/>
          <w:color w:val="000000" w:themeColor="text1"/>
          <w:sz w:val="24"/>
          <w:szCs w:val="24"/>
        </w:rPr>
      </w:pPr>
      <w:r w:rsidRPr="003A7D05">
        <w:rPr>
          <w:rFonts w:ascii="Palatino Linotype" w:hAnsi="Palatino Linotype" w:cs="Times New Roman"/>
          <w:b/>
          <w:color w:val="000000" w:themeColor="text1"/>
          <w:sz w:val="24"/>
          <w:szCs w:val="24"/>
        </w:rPr>
        <w:t xml:space="preserve">Improved Cold Tolerance in Brassica </w:t>
      </w:r>
      <w:proofErr w:type="spellStart"/>
      <w:r w:rsidRPr="003A7D05">
        <w:rPr>
          <w:rFonts w:ascii="Palatino Linotype" w:hAnsi="Palatino Linotype" w:cs="Times New Roman"/>
          <w:b/>
          <w:color w:val="000000" w:themeColor="text1"/>
          <w:sz w:val="24"/>
          <w:szCs w:val="24"/>
        </w:rPr>
        <w:t>rapa</w:t>
      </w:r>
      <w:proofErr w:type="spellEnd"/>
      <w:r w:rsidRPr="003A7D05">
        <w:rPr>
          <w:rFonts w:ascii="Palatino Linotype" w:hAnsi="Palatino Linotype" w:cs="Times New Roman"/>
          <w:b/>
          <w:color w:val="000000" w:themeColor="text1"/>
          <w:sz w:val="24"/>
          <w:szCs w:val="24"/>
        </w:rPr>
        <w:t>: Functional Diversi-</w:t>
      </w:r>
      <w:proofErr w:type="spellStart"/>
      <w:r w:rsidRPr="003A7D05">
        <w:rPr>
          <w:rFonts w:ascii="Palatino Linotype" w:hAnsi="Palatino Linotype" w:cs="Times New Roman"/>
          <w:b/>
          <w:color w:val="000000" w:themeColor="text1"/>
          <w:sz w:val="24"/>
          <w:szCs w:val="24"/>
        </w:rPr>
        <w:t>fication</w:t>
      </w:r>
      <w:proofErr w:type="spellEnd"/>
      <w:r w:rsidRPr="003A7D05">
        <w:rPr>
          <w:rFonts w:ascii="Palatino Linotype" w:hAnsi="Palatino Linotype" w:cs="Times New Roman"/>
          <w:b/>
          <w:color w:val="000000" w:themeColor="text1"/>
          <w:sz w:val="24"/>
          <w:szCs w:val="24"/>
        </w:rPr>
        <w:t xml:space="preserve"> of BrICE1 and BrICE2 Paralogs via CBF and ROS Scavenging Pathways, Balancing Growth and Defense</w:t>
      </w:r>
    </w:p>
    <w:p w14:paraId="67A26B6D" w14:textId="77777777" w:rsidR="003A7D05" w:rsidRPr="003A7D05" w:rsidRDefault="003A7D05" w:rsidP="003A7D05">
      <w:pPr>
        <w:spacing w:line="400" w:lineRule="exact"/>
        <w:rPr>
          <w:rFonts w:ascii="Palatino Linotype" w:hAnsi="Palatino Linotype" w:cs="Times New Roman"/>
          <w:b/>
          <w:color w:val="000000" w:themeColor="text1"/>
          <w:sz w:val="24"/>
          <w:szCs w:val="24"/>
        </w:rPr>
      </w:pPr>
    </w:p>
    <w:p w14:paraId="365B53C4" w14:textId="67C97A82" w:rsidR="00415856" w:rsidRPr="003A7D05" w:rsidRDefault="003A7D05" w:rsidP="00415856">
      <w:pPr>
        <w:spacing w:line="276" w:lineRule="auto"/>
        <w:rPr>
          <w:rFonts w:ascii="Palatino Linotype" w:hAnsi="Palatino Linotype" w:cs="Times New Roman"/>
          <w:bCs/>
          <w:color w:val="000000" w:themeColor="text1"/>
          <w:sz w:val="18"/>
          <w:szCs w:val="18"/>
        </w:rPr>
      </w:pP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Wangze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Wu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1, †, *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Haobo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Yang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2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†, Peng Xing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Guoting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Zhu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Xueyan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Han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Guotai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Min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Haijun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Ding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,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Guofan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Wu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1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and </w:t>
      </w:r>
      <w:proofErr w:type="spellStart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Zigang</w:t>
      </w:r>
      <w:proofErr w:type="spellEnd"/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 xml:space="preserve"> Liu 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  <w:vertAlign w:val="superscript"/>
        </w:rPr>
        <w:t>3</w:t>
      </w:r>
      <w:r w:rsidRPr="003A7D05">
        <w:rPr>
          <w:rFonts w:ascii="Palatino Linotype" w:hAnsi="Palatino Linotype" w:cs="Times New Roman"/>
          <w:bCs/>
          <w:color w:val="000000" w:themeColor="text1"/>
          <w:sz w:val="18"/>
          <w:szCs w:val="18"/>
        </w:rPr>
        <w:t>.</w:t>
      </w:r>
    </w:p>
    <w:p w14:paraId="0D098354" w14:textId="77777777" w:rsidR="003A7D05" w:rsidRPr="00EC53F7" w:rsidRDefault="003A7D05" w:rsidP="00415856">
      <w:pPr>
        <w:spacing w:line="276" w:lineRule="auto"/>
        <w:rPr>
          <w:rFonts w:ascii="Times New Roman" w:hAnsi="Times New Roman" w:cs="Times New Roman"/>
          <w:b/>
          <w:color w:val="000000" w:themeColor="text1"/>
          <w:szCs w:val="21"/>
        </w:rPr>
      </w:pPr>
    </w:p>
    <w:p w14:paraId="30D0A9AD" w14:textId="77777777" w:rsidR="003A7D05" w:rsidRPr="003A7D05" w:rsidRDefault="003A7D05" w:rsidP="003A7D05">
      <w:pPr>
        <w:spacing w:line="276" w:lineRule="auto"/>
        <w:rPr>
          <w:rFonts w:ascii="Palatino Linotype" w:hAnsi="Palatino Linotype" w:cs="Times New Roman"/>
          <w:b/>
          <w:color w:val="000000" w:themeColor="text1"/>
          <w:szCs w:val="21"/>
        </w:rPr>
      </w:pPr>
      <w:r w:rsidRPr="003A7D05">
        <w:rPr>
          <w:rFonts w:ascii="Palatino Linotype" w:hAnsi="Palatino Linotype" w:cs="Times New Roman"/>
          <w:b/>
          <w:color w:val="000000" w:themeColor="text1"/>
          <w:szCs w:val="21"/>
        </w:rPr>
        <w:t xml:space="preserve">Figure Legends </w:t>
      </w:r>
    </w:p>
    <w:p w14:paraId="41F5C27B" w14:textId="77777777" w:rsidR="00615667" w:rsidRPr="003A7D05" w:rsidRDefault="00615667" w:rsidP="00615667">
      <w:pPr>
        <w:autoSpaceDE w:val="0"/>
        <w:autoSpaceDN w:val="0"/>
        <w:adjustRightInd w:val="0"/>
        <w:spacing w:line="276" w:lineRule="auto"/>
        <w:rPr>
          <w:rFonts w:ascii="等线" w:eastAsia="等线" w:hAnsi="等线" w:cs="Times New Roman"/>
          <w:b/>
          <w:bCs/>
          <w:color w:val="000000" w:themeColor="text1"/>
          <w:szCs w:val="21"/>
        </w:rPr>
      </w:pPr>
    </w:p>
    <w:p w14:paraId="3F55E08A" w14:textId="76125B54" w:rsidR="00462D19" w:rsidRPr="00EC53F7" w:rsidRDefault="00462D19" w:rsidP="00462D19">
      <w:pPr>
        <w:autoSpaceDE w:val="0"/>
        <w:autoSpaceDN w:val="0"/>
        <w:adjustRightInd w:val="0"/>
        <w:spacing w:line="276" w:lineRule="auto"/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</w:pP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Figure </w:t>
      </w:r>
      <w:r w:rsidR="00615667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S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1. </w:t>
      </w:r>
      <w:r w:rsidR="00F91F08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Amino acid</w:t>
      </w:r>
      <w:r w:rsidR="00F91F08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</w:t>
      </w:r>
      <w:r w:rsidR="00F91F08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alignment</w:t>
      </w:r>
      <w:r w:rsidR="00F91F08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of 42 </w:t>
      </w:r>
      <w:r w:rsidR="00F91F08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 xml:space="preserve">ICE1 </w:t>
      </w:r>
      <w:r w:rsidR="0056079A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homologous genes.</w:t>
      </w:r>
    </w:p>
    <w:p w14:paraId="4B6D33D8" w14:textId="12AF5F8E" w:rsidR="00F91F08" w:rsidRPr="00EC53F7" w:rsidRDefault="00F91F08" w:rsidP="00C22ACC">
      <w:pPr>
        <w:autoSpaceDE w:val="0"/>
        <w:autoSpaceDN w:val="0"/>
        <w:adjustRightInd w:val="0"/>
        <w:spacing w:line="276" w:lineRule="auto"/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</w:pP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DNAMAN v9.0 software was used to align the amino acid sequences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, and p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rotein structural domain analysis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.</w:t>
      </w:r>
      <w:r w:rsidR="00D80ED7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</w:t>
      </w:r>
      <w:r w:rsidR="0056079A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C</w:t>
      </w:r>
      <w:r w:rsidR="0056079A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onserved glutamine-rich and leucine-rich region</w:t>
      </w:r>
      <w:r w:rsidR="0056079A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of </w:t>
      </w:r>
      <w:r w:rsidR="0056079A" w:rsidRPr="00EC53F7">
        <w:rPr>
          <w:rFonts w:ascii="Palatino Linotype" w:eastAsia="等线" w:hAnsi="Palatino Linotype" w:cs="Times New Roman" w:hint="eastAsia"/>
          <w:i/>
          <w:iCs/>
          <w:color w:val="000000" w:themeColor="text1"/>
          <w:kern w:val="0"/>
          <w:sz w:val="20"/>
          <w:szCs w:val="20"/>
        </w:rPr>
        <w:t>ICE2</w:t>
      </w:r>
      <w:r w:rsidR="0056079A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</w:t>
      </w:r>
      <w:r w:rsidR="00C63303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homologous genes</w:t>
      </w:r>
      <w:r w:rsidR="0056079A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were </w:t>
      </w:r>
      <w:r w:rsidR="0056079A"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signed</w:t>
      </w:r>
      <w:r w:rsidR="0056079A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.</w:t>
      </w:r>
    </w:p>
    <w:p w14:paraId="71D101B0" w14:textId="77777777" w:rsidR="00C22ACC" w:rsidRPr="00EC53F7" w:rsidRDefault="00C22ACC" w:rsidP="00C22AC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Cs w:val="21"/>
        </w:rPr>
      </w:pPr>
    </w:p>
    <w:p w14:paraId="025294EC" w14:textId="3946AE7C" w:rsidR="00E6686C" w:rsidRPr="00EC53F7" w:rsidRDefault="00E6686C" w:rsidP="00E6686C">
      <w:pPr>
        <w:autoSpaceDE w:val="0"/>
        <w:autoSpaceDN w:val="0"/>
        <w:adjustRightInd w:val="0"/>
        <w:spacing w:line="276" w:lineRule="auto"/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</w:pP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Figure </w:t>
      </w:r>
      <w:r w:rsidR="00615667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S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2. 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The 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aerial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phenotype of </w:t>
      </w:r>
      <w:r w:rsidRPr="00EC53F7">
        <w:rPr>
          <w:rFonts w:ascii="Palatino Linotype" w:eastAsia="等线" w:hAnsi="Palatino Linotype" w:cs="Times New Roman"/>
          <w:i/>
          <w:iCs/>
          <w:color w:val="000000" w:themeColor="text1"/>
          <w:kern w:val="0"/>
          <w:sz w:val="20"/>
          <w:szCs w:val="20"/>
        </w:rPr>
        <w:t>Br</w:t>
      </w:r>
      <w:r w:rsidRPr="00EC53F7">
        <w:rPr>
          <w:rFonts w:ascii="Palatino Linotype" w:eastAsia="等线" w:hAnsi="Palatino Linotype" w:cs="Times New Roman" w:hint="eastAsia"/>
          <w:i/>
          <w:iCs/>
          <w:color w:val="000000" w:themeColor="text1"/>
          <w:kern w:val="0"/>
          <w:sz w:val="20"/>
          <w:szCs w:val="20"/>
        </w:rPr>
        <w:t>ICE</w:t>
      </w:r>
      <w:r w:rsidRPr="00EC53F7">
        <w:rPr>
          <w:rFonts w:ascii="Palatino Linotype" w:eastAsia="等线" w:hAnsi="Palatino Linotype" w:cs="Times New Roman"/>
          <w:i/>
          <w:iCs/>
          <w:color w:val="000000" w:themeColor="text1"/>
          <w:kern w:val="0"/>
          <w:sz w:val="20"/>
          <w:szCs w:val="20"/>
        </w:rPr>
        <w:t>1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 xml:space="preserve"> 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and </w:t>
      </w:r>
      <w:r w:rsidRPr="00EC53F7">
        <w:rPr>
          <w:rFonts w:ascii="Palatino Linotype" w:eastAsia="等线" w:hAnsi="Palatino Linotype" w:cs="Times New Roman" w:hint="eastAsia"/>
          <w:i/>
          <w:iCs/>
          <w:color w:val="000000" w:themeColor="text1"/>
          <w:kern w:val="0"/>
          <w:sz w:val="20"/>
          <w:szCs w:val="20"/>
        </w:rPr>
        <w:t>BrICE2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transgenic plants.</w:t>
      </w:r>
    </w:p>
    <w:p w14:paraId="3527CF24" w14:textId="40DA7569" w:rsidR="00E6686C" w:rsidRPr="00EC53F7" w:rsidRDefault="00E6686C" w:rsidP="00E6686C">
      <w:pPr>
        <w:autoSpaceDE w:val="0"/>
        <w:autoSpaceDN w:val="0"/>
        <w:adjustRightInd w:val="0"/>
        <w:spacing w:line="276" w:lineRule="auto"/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</w:pP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BrICE1-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G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FP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and 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BrICE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2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-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G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FP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fusion protein w</w:t>
      </w:r>
      <w:r w:rsidR="00C63303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ere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dr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o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ve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by 35S 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promoter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, and </w:t>
      </w:r>
      <w:r w:rsidR="0056079A"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were 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overexpressed in 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Arabidopsis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>, two lines of T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  <w:vertAlign w:val="subscript"/>
        </w:rPr>
        <w:t>2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transgenic plants grown on soil were </w:t>
      </w:r>
      <w:r w:rsidRPr="00EC53F7">
        <w:rPr>
          <w:rFonts w:ascii="Palatino Linotype" w:eastAsia="等线" w:hAnsi="Palatino Linotype" w:cs="Times New Roman"/>
          <w:color w:val="000000" w:themeColor="text1"/>
          <w:kern w:val="0"/>
          <w:sz w:val="20"/>
          <w:szCs w:val="20"/>
        </w:rPr>
        <w:t>photographed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. </w:t>
      </w:r>
      <w:r w:rsidRPr="00EC53F7">
        <w:rPr>
          <w:rFonts w:ascii="Palatino Linotype" w:eastAsia="等线" w:hAnsi="Palatino Linotype" w:cs="Times New Roman" w:hint="eastAsia"/>
          <w:b/>
          <w:bCs/>
          <w:color w:val="000000" w:themeColor="text1"/>
          <w:kern w:val="0"/>
          <w:sz w:val="20"/>
          <w:szCs w:val="20"/>
        </w:rPr>
        <w:t xml:space="preserve">(A) 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The phenotype of 28-day-old seedlings. </w:t>
      </w:r>
      <w:r w:rsidRPr="00EC53F7">
        <w:rPr>
          <w:rFonts w:ascii="Palatino Linotype" w:eastAsia="等线" w:hAnsi="Palatino Linotype" w:cs="Times New Roman" w:hint="eastAsia"/>
          <w:b/>
          <w:bCs/>
          <w:color w:val="000000" w:themeColor="text1"/>
          <w:kern w:val="0"/>
          <w:sz w:val="20"/>
          <w:szCs w:val="20"/>
        </w:rPr>
        <w:t>(B)</w:t>
      </w:r>
      <w:r w:rsidRPr="00EC53F7">
        <w:rPr>
          <w:rFonts w:ascii="Palatino Linotype" w:eastAsia="等线" w:hAnsi="Palatino Linotype" w:cs="Times New Roman" w:hint="eastAsia"/>
          <w:color w:val="000000" w:themeColor="text1"/>
          <w:kern w:val="0"/>
          <w:sz w:val="20"/>
          <w:szCs w:val="20"/>
        </w:rPr>
        <w:t xml:space="preserve"> The phenotype of 35-day-old seedlings.</w:t>
      </w:r>
    </w:p>
    <w:p w14:paraId="68945C33" w14:textId="77777777" w:rsidR="00F91F08" w:rsidRPr="00EC53F7" w:rsidRDefault="00F91F08" w:rsidP="00E6686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iCs/>
          <w:color w:val="000000" w:themeColor="text1"/>
          <w:szCs w:val="21"/>
        </w:rPr>
      </w:pPr>
    </w:p>
    <w:p w14:paraId="722B56F8" w14:textId="77777777" w:rsidR="00615667" w:rsidRPr="00EC53F7" w:rsidRDefault="00F91F08" w:rsidP="00E6686C">
      <w:pPr>
        <w:autoSpaceDE w:val="0"/>
        <w:autoSpaceDN w:val="0"/>
        <w:adjustRightInd w:val="0"/>
        <w:spacing w:line="276" w:lineRule="auto"/>
        <w:rPr>
          <w:rFonts w:ascii="Palatino Linotype" w:hAnsi="Palatino Linotype" w:cs="Times New Roman"/>
          <w:color w:val="000000" w:themeColor="text1"/>
          <w:sz w:val="20"/>
          <w:szCs w:val="20"/>
        </w:rPr>
      </w:pP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Figure </w:t>
      </w:r>
      <w:r w:rsidR="00615667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S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3. 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Overexpression BrICE1 and BrICE2 enhance</w:t>
      </w:r>
      <w:r w:rsidR="00C63303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s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the cold tolerance of 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Arabidopsis. </w:t>
      </w:r>
    </w:p>
    <w:p w14:paraId="479CE7CF" w14:textId="2119B46C" w:rsidR="00F91F08" w:rsidRPr="00EC53F7" w:rsidRDefault="005123F7" w:rsidP="00E6686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Twenty-eight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-day-old seedlings 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that grown in soil 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were freezing treated at - 6 </w:t>
      </w:r>
      <w:r w:rsidR="00F4191C" w:rsidRPr="00EC53F7">
        <w:rPr>
          <w:rFonts w:ascii="宋体" w:eastAsia="宋体" w:hAnsi="宋体" w:cs="宋体" w:hint="eastAsia"/>
          <w:color w:val="000000" w:themeColor="text1"/>
          <w:sz w:val="20"/>
          <w:szCs w:val="20"/>
        </w:rPr>
        <w:t>℃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for 6 h with (CA, at 4 </w:t>
      </w:r>
      <w:r w:rsidR="00F4191C" w:rsidRPr="00EC53F7">
        <w:rPr>
          <w:rFonts w:ascii="宋体" w:eastAsia="宋体" w:hAnsi="宋体" w:cs="宋体" w:hint="eastAsia"/>
          <w:color w:val="000000" w:themeColor="text1"/>
          <w:sz w:val="20"/>
          <w:szCs w:val="20"/>
        </w:rPr>
        <w:t>℃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for 3 d) or without cold accumulation (NA), after 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5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d recovering at 22 </w:t>
      </w:r>
      <w:r w:rsidR="00F4191C" w:rsidRPr="00EC53F7">
        <w:rPr>
          <w:rFonts w:ascii="宋体" w:eastAsia="宋体" w:hAnsi="宋体" w:cs="宋体" w:hint="eastAsia"/>
          <w:color w:val="000000" w:themeColor="text1"/>
          <w:sz w:val="20"/>
          <w:szCs w:val="20"/>
        </w:rPr>
        <w:t>℃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, the 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freezing-phenotype</w:t>
      </w:r>
      <w:r w:rsidR="00F0121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and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survival rates </w:t>
      </w:r>
      <w:r w:rsidR="0056079A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were</w:t>
      </w:r>
      <w:r w:rsidR="00F4191C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determined.</w:t>
      </w:r>
    </w:p>
    <w:p w14:paraId="4A5A1037" w14:textId="77777777" w:rsidR="000B08CB" w:rsidRPr="00EC53F7" w:rsidRDefault="000B08CB" w:rsidP="00E6686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iCs/>
          <w:color w:val="000000" w:themeColor="text1"/>
          <w:szCs w:val="21"/>
        </w:rPr>
      </w:pPr>
    </w:p>
    <w:p w14:paraId="18C03B4D" w14:textId="7E17AB20" w:rsidR="00083B4A" w:rsidRPr="00EC53F7" w:rsidRDefault="000B08CB" w:rsidP="00083B4A">
      <w:pPr>
        <w:spacing w:line="276" w:lineRule="auto"/>
        <w:rPr>
          <w:rFonts w:ascii="Palatino Linotype" w:eastAsia="宋体" w:hAnsi="Palatino Linotype" w:cs="Times New Roman"/>
          <w:color w:val="000000" w:themeColor="text1"/>
          <w:sz w:val="20"/>
          <w:szCs w:val="20"/>
        </w:rPr>
      </w:pP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Figure </w:t>
      </w:r>
      <w:r w:rsidR="00615667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S</w:t>
      </w:r>
      <w:r w:rsidR="00C22ACC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4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.</w:t>
      </w:r>
      <w:r w:rsidR="00083B4A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="00083B4A" w:rsidRPr="00EC53F7">
        <w:rPr>
          <w:rFonts w:ascii="Palatino Linotype" w:eastAsia="宋体" w:hAnsi="Palatino Linotype" w:cs="Times New Roman"/>
          <w:color w:val="000000" w:themeColor="text1"/>
          <w:sz w:val="20"/>
          <w:szCs w:val="20"/>
          <w:lang w:eastAsia="en-US"/>
        </w:rPr>
        <w:t xml:space="preserve">cis-regulatory elements analysis of </w:t>
      </w:r>
      <w:r w:rsidR="00615667" w:rsidRPr="00EC53F7">
        <w:rPr>
          <w:rFonts w:ascii="Palatino Linotype" w:eastAsia="宋体" w:hAnsi="Palatino Linotype" w:cs="Times New Roman"/>
          <w:color w:val="000000" w:themeColor="text1"/>
          <w:sz w:val="20"/>
          <w:szCs w:val="20"/>
          <w:lang w:eastAsia="en-US"/>
        </w:rPr>
        <w:t>promoter regions</w:t>
      </w:r>
      <w:r w:rsidR="00615667" w:rsidRPr="00EC53F7">
        <w:rPr>
          <w:rFonts w:ascii="Palatino Linotype" w:eastAsia="宋体" w:hAnsi="Palatino Linotype" w:cs="Times New Roman" w:hint="eastAsia"/>
          <w:color w:val="000000" w:themeColor="text1"/>
          <w:sz w:val="20"/>
          <w:szCs w:val="20"/>
        </w:rPr>
        <w:t xml:space="preserve"> of </w:t>
      </w:r>
      <w:r w:rsidR="00083B4A" w:rsidRPr="00EC53F7">
        <w:rPr>
          <w:rFonts w:ascii="Palatino Linotype" w:eastAsia="宋体" w:hAnsi="Palatino Linotype" w:cs="Times New Roman"/>
          <w:i/>
          <w:iCs/>
          <w:color w:val="000000" w:themeColor="text1"/>
          <w:sz w:val="20"/>
          <w:szCs w:val="20"/>
          <w:lang w:eastAsia="en-US"/>
        </w:rPr>
        <w:t>BrICE</w:t>
      </w:r>
      <w:r w:rsidR="00615667" w:rsidRPr="00EC53F7">
        <w:rPr>
          <w:rFonts w:ascii="Palatino Linotype" w:eastAsia="宋体" w:hAnsi="Palatino Linotype" w:cs="Times New Roman"/>
          <w:i/>
          <w:iCs/>
          <w:color w:val="000000" w:themeColor="text1"/>
          <w:sz w:val="20"/>
          <w:szCs w:val="20"/>
        </w:rPr>
        <w:t>s</w:t>
      </w:r>
      <w:r w:rsidR="00083B4A" w:rsidRPr="00EC53F7">
        <w:rPr>
          <w:rFonts w:ascii="Palatino Linotype" w:eastAsia="宋体" w:hAnsi="Palatino Linotype" w:cs="Times New Roman"/>
          <w:color w:val="000000" w:themeColor="text1"/>
          <w:sz w:val="20"/>
          <w:szCs w:val="20"/>
          <w:lang w:eastAsia="en-US"/>
        </w:rPr>
        <w:t xml:space="preserve"> </w:t>
      </w:r>
      <w:r w:rsidR="0056079A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homologous genes</w:t>
      </w:r>
      <w:r w:rsidR="00615667" w:rsidRPr="00EC53F7">
        <w:rPr>
          <w:rFonts w:ascii="Palatino Linotype" w:hAnsi="Palatino Linotype" w:cs="Times New Roman" w:hint="eastAsia"/>
          <w:color w:val="000000" w:themeColor="text1"/>
          <w:sz w:val="20"/>
          <w:szCs w:val="20"/>
        </w:rPr>
        <w:t>.</w:t>
      </w:r>
      <w:r w:rsidR="00083B4A" w:rsidRPr="00EC53F7">
        <w:rPr>
          <w:rFonts w:ascii="Palatino Linotype" w:eastAsia="宋体" w:hAnsi="Palatino Linotype" w:cs="Times New Roman"/>
          <w:color w:val="000000" w:themeColor="text1"/>
          <w:sz w:val="20"/>
          <w:szCs w:val="20"/>
          <w:lang w:eastAsia="en-US"/>
        </w:rPr>
        <w:t xml:space="preserve"> </w:t>
      </w:r>
    </w:p>
    <w:p w14:paraId="4024EEDD" w14:textId="69C02E81" w:rsidR="00083B4A" w:rsidRPr="00EC53F7" w:rsidRDefault="00083B4A" w:rsidP="00083B4A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  <w:proofErr w:type="spellStart"/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PlantCare</w:t>
      </w:r>
      <w:proofErr w:type="spellEnd"/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tool </w:t>
      </w:r>
      <w:r w:rsidR="0056079A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was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used to </w:t>
      </w:r>
      <w:r w:rsidR="00D3359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analyze the cis-regulatory elements. </w:t>
      </w:r>
      <w:r w:rsidR="00D3359E" w:rsidRPr="00EC53F7">
        <w:rPr>
          <w:rFonts w:ascii="Palatino Linotype" w:hAnsi="Palatino Linotype" w:cs="Times New Roman"/>
          <w:b/>
          <w:bCs/>
          <w:color w:val="000000" w:themeColor="text1"/>
          <w:sz w:val="20"/>
          <w:szCs w:val="20"/>
        </w:rPr>
        <w:t xml:space="preserve">(A) </w:t>
      </w:r>
      <w:r w:rsidR="00D3359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The frequency and distribution site of cis-regulatory elements in promoter. </w:t>
      </w:r>
      <w:r w:rsidR="00D3359E" w:rsidRPr="00EC53F7">
        <w:rPr>
          <w:rFonts w:ascii="Palatino Linotype" w:hAnsi="Palatino Linotype" w:cs="Times New Roman"/>
          <w:b/>
          <w:bCs/>
          <w:color w:val="000000" w:themeColor="text1"/>
          <w:sz w:val="20"/>
          <w:szCs w:val="20"/>
        </w:rPr>
        <w:t>(B)</w:t>
      </w:r>
      <w:r w:rsidR="00D3359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</w:t>
      </w:r>
      <w:r w:rsidR="00C63303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L</w:t>
      </w:r>
      <w:r w:rsidR="00D3359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isting the specific and common cis-regulatory elements </w:t>
      </w:r>
      <w:r w:rsidR="00C63303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of </w:t>
      </w:r>
      <w:r w:rsidR="00D3359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BrICE1 </w:t>
      </w:r>
      <w:r w:rsidR="0056079A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homologous genes</w:t>
      </w:r>
      <w:r w:rsidR="00D3359E"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 promoter</w:t>
      </w:r>
    </w:p>
    <w:p w14:paraId="5821E6B6" w14:textId="77777777" w:rsidR="000B08CB" w:rsidRPr="00EC53F7" w:rsidRDefault="000B08CB" w:rsidP="000B08C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Cs w:val="21"/>
        </w:rPr>
      </w:pPr>
    </w:p>
    <w:p w14:paraId="3FD32222" w14:textId="7C99800E" w:rsidR="00C22ACC" w:rsidRPr="00EC53F7" w:rsidRDefault="00C22ACC" w:rsidP="000B08C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Cs w:val="21"/>
        </w:rPr>
      </w:pPr>
      <w:r w:rsidRPr="00EC53F7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Table </w:t>
      </w:r>
      <w:r w:rsidR="00615667"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S</w:t>
      </w:r>
      <w:r w:rsidRPr="00EC53F7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1. </w:t>
      </w:r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 xml:space="preserve">Overview of the primers used for cloning, and </w:t>
      </w:r>
      <w:proofErr w:type="spellStart"/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qRT</w:t>
      </w:r>
      <w:proofErr w:type="spellEnd"/>
      <w:r w:rsidRPr="00EC53F7">
        <w:rPr>
          <w:rFonts w:ascii="Palatino Linotype" w:hAnsi="Palatino Linotype" w:cs="Times New Roman"/>
          <w:color w:val="000000" w:themeColor="text1"/>
          <w:sz w:val="20"/>
          <w:szCs w:val="20"/>
        </w:rPr>
        <w:t>-PCR.</w:t>
      </w:r>
    </w:p>
    <w:sectPr w:rsidR="00C22ACC" w:rsidRPr="00EC53F7" w:rsidSect="003A7D05">
      <w:pgSz w:w="11906" w:h="16838" w:code="9"/>
      <w:pgMar w:top="1440" w:right="1758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D86F1" w14:textId="77777777" w:rsidR="00571576" w:rsidRDefault="00571576" w:rsidP="003B2D5B">
      <w:r>
        <w:separator/>
      </w:r>
    </w:p>
  </w:endnote>
  <w:endnote w:type="continuationSeparator" w:id="0">
    <w:p w14:paraId="038C9267" w14:textId="77777777" w:rsidR="00571576" w:rsidRDefault="00571576" w:rsidP="003B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B1BEB" w14:textId="77777777" w:rsidR="00571576" w:rsidRDefault="00571576" w:rsidP="003B2D5B">
      <w:r>
        <w:separator/>
      </w:r>
    </w:p>
  </w:footnote>
  <w:footnote w:type="continuationSeparator" w:id="0">
    <w:p w14:paraId="3C41A158" w14:textId="77777777" w:rsidR="00571576" w:rsidRDefault="00571576" w:rsidP="003B2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B6"/>
    <w:rsid w:val="00077452"/>
    <w:rsid w:val="00083B4A"/>
    <w:rsid w:val="00093759"/>
    <w:rsid w:val="000966E0"/>
    <w:rsid w:val="000B08CB"/>
    <w:rsid w:val="000E38BB"/>
    <w:rsid w:val="00103922"/>
    <w:rsid w:val="00124D80"/>
    <w:rsid w:val="001253A3"/>
    <w:rsid w:val="00126743"/>
    <w:rsid w:val="00160074"/>
    <w:rsid w:val="0016740C"/>
    <w:rsid w:val="00196A2D"/>
    <w:rsid w:val="001C5444"/>
    <w:rsid w:val="001E6159"/>
    <w:rsid w:val="001F43AF"/>
    <w:rsid w:val="00296389"/>
    <w:rsid w:val="002A3277"/>
    <w:rsid w:val="002B7E19"/>
    <w:rsid w:val="002C1DA4"/>
    <w:rsid w:val="002D12A2"/>
    <w:rsid w:val="002E5F30"/>
    <w:rsid w:val="00314CB0"/>
    <w:rsid w:val="00356B19"/>
    <w:rsid w:val="003935D7"/>
    <w:rsid w:val="003A7D05"/>
    <w:rsid w:val="003B2D5B"/>
    <w:rsid w:val="003C12DA"/>
    <w:rsid w:val="00415856"/>
    <w:rsid w:val="00440BE6"/>
    <w:rsid w:val="00462D19"/>
    <w:rsid w:val="00481980"/>
    <w:rsid w:val="005123F7"/>
    <w:rsid w:val="005303A7"/>
    <w:rsid w:val="00532E99"/>
    <w:rsid w:val="0056079A"/>
    <w:rsid w:val="00571576"/>
    <w:rsid w:val="005E3A46"/>
    <w:rsid w:val="00615667"/>
    <w:rsid w:val="00680950"/>
    <w:rsid w:val="006C4436"/>
    <w:rsid w:val="006E4358"/>
    <w:rsid w:val="0070683E"/>
    <w:rsid w:val="00735AD9"/>
    <w:rsid w:val="00773D98"/>
    <w:rsid w:val="00782FA2"/>
    <w:rsid w:val="007B2EB6"/>
    <w:rsid w:val="00815F7B"/>
    <w:rsid w:val="008164A0"/>
    <w:rsid w:val="00832B89"/>
    <w:rsid w:val="0087036D"/>
    <w:rsid w:val="008A41D0"/>
    <w:rsid w:val="008A5BC0"/>
    <w:rsid w:val="008D0CE6"/>
    <w:rsid w:val="00931B1A"/>
    <w:rsid w:val="00960E51"/>
    <w:rsid w:val="009651A6"/>
    <w:rsid w:val="00A150D8"/>
    <w:rsid w:val="00A34C81"/>
    <w:rsid w:val="00AB5B6A"/>
    <w:rsid w:val="00AF1FB0"/>
    <w:rsid w:val="00AF3F91"/>
    <w:rsid w:val="00B030DB"/>
    <w:rsid w:val="00B371CB"/>
    <w:rsid w:val="00B90106"/>
    <w:rsid w:val="00BA2E26"/>
    <w:rsid w:val="00BE6C7C"/>
    <w:rsid w:val="00C22ACC"/>
    <w:rsid w:val="00C63303"/>
    <w:rsid w:val="00C732A7"/>
    <w:rsid w:val="00C744EB"/>
    <w:rsid w:val="00CA5971"/>
    <w:rsid w:val="00CB338C"/>
    <w:rsid w:val="00CF5BB6"/>
    <w:rsid w:val="00D11ACC"/>
    <w:rsid w:val="00D20DEE"/>
    <w:rsid w:val="00D320E0"/>
    <w:rsid w:val="00D3359E"/>
    <w:rsid w:val="00D55411"/>
    <w:rsid w:val="00D618E3"/>
    <w:rsid w:val="00D67407"/>
    <w:rsid w:val="00D80ED7"/>
    <w:rsid w:val="00DB49C6"/>
    <w:rsid w:val="00DE16C9"/>
    <w:rsid w:val="00DF31BA"/>
    <w:rsid w:val="00E11290"/>
    <w:rsid w:val="00E21C11"/>
    <w:rsid w:val="00E236E5"/>
    <w:rsid w:val="00E6686C"/>
    <w:rsid w:val="00E84334"/>
    <w:rsid w:val="00EC53F7"/>
    <w:rsid w:val="00F0121E"/>
    <w:rsid w:val="00F4191C"/>
    <w:rsid w:val="00F46568"/>
    <w:rsid w:val="00F62616"/>
    <w:rsid w:val="00F84D4F"/>
    <w:rsid w:val="00F87B1F"/>
    <w:rsid w:val="00F9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14225"/>
  <w15:chartTrackingRefBased/>
  <w15:docId w15:val="{AA74D4D6-D249-41F0-8479-4DA6B3D6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759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F91F08"/>
    <w:rPr>
      <w:sz w:val="21"/>
      <w:szCs w:val="21"/>
    </w:rPr>
  </w:style>
  <w:style w:type="paragraph" w:styleId="a4">
    <w:name w:val="annotation text"/>
    <w:basedOn w:val="a"/>
    <w:link w:val="a5"/>
    <w:rsid w:val="00F91F08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customStyle="1" w:styleId="a5">
    <w:name w:val="批注文字 字符"/>
    <w:basedOn w:val="a0"/>
    <w:link w:val="a4"/>
    <w:rsid w:val="00F91F08"/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3B2D5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2D5B"/>
    <w:rPr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3B2D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2D5B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271</Words>
  <Characters>1445</Characters>
  <Application>Microsoft Office Word</Application>
  <DocSecurity>0</DocSecurity>
  <Lines>65</Lines>
  <Paragraphs>74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ze wu</dc:creator>
  <cp:keywords/>
  <dc:description/>
  <cp:lastModifiedBy>wang ze wu</cp:lastModifiedBy>
  <cp:revision>5</cp:revision>
  <dcterms:created xsi:type="dcterms:W3CDTF">2024-05-30T14:56:00Z</dcterms:created>
  <dcterms:modified xsi:type="dcterms:W3CDTF">2024-06-04T16:32:00Z</dcterms:modified>
</cp:coreProperties>
</file>